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E642" w14:textId="217D08FD" w:rsidR="00A71149" w:rsidRPr="00626DA2" w:rsidRDefault="00EB7E57" w:rsidP="00CC253C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626DA2">
        <w:rPr>
          <w:rFonts w:ascii="Times New Roman" w:hAnsi="Times New Roman"/>
          <w:b/>
          <w:sz w:val="32"/>
          <w:szCs w:val="32"/>
        </w:rPr>
        <w:t xml:space="preserve">                              </w:t>
      </w:r>
      <w:r w:rsidR="00A71149" w:rsidRPr="00626DA2">
        <w:rPr>
          <w:rFonts w:ascii="Times New Roman" w:hAnsi="Times New Roman"/>
          <w:b/>
          <w:sz w:val="32"/>
          <w:szCs w:val="32"/>
        </w:rPr>
        <w:t>Výroční zpráva za rok 202</w:t>
      </w:r>
      <w:r w:rsidR="00621A5D">
        <w:rPr>
          <w:rFonts w:ascii="Times New Roman" w:hAnsi="Times New Roman"/>
          <w:b/>
          <w:sz w:val="32"/>
          <w:szCs w:val="32"/>
        </w:rPr>
        <w:t>5</w:t>
      </w:r>
      <w:r w:rsidR="00A71149" w:rsidRPr="00626DA2">
        <w:rPr>
          <w:rFonts w:ascii="Times New Roman" w:hAnsi="Times New Roman"/>
          <w:b/>
          <w:sz w:val="32"/>
          <w:szCs w:val="32"/>
        </w:rPr>
        <w:t xml:space="preserve"> </w:t>
      </w:r>
    </w:p>
    <w:p w14:paraId="3A3A60F2" w14:textId="77777777" w:rsidR="00A71149" w:rsidRDefault="00A71149" w:rsidP="00CC253C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dle zákona č. 106/1999 Sb., o svobodném přístupu k informacím, ve znění pozdějších předpisů, o činnosti v oblasti poskytování informací</w:t>
      </w:r>
    </w:p>
    <w:p w14:paraId="6CA5FE20" w14:textId="77777777" w:rsidR="00A71149" w:rsidRDefault="00A71149" w:rsidP="00A71149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7130624" w14:textId="4FBFE7C9" w:rsidR="00A71149" w:rsidRDefault="00A71149" w:rsidP="00A711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Úřad městské části Praha 9 v souladu s ust. § 18 zákona č. 106/1999 Sb., o svobodném přístupu k informacím, ve znění pozdějších předpisů (dále jen „zákon č. 106/1999 Sb.“), zveřejňuje výroční zprávu za rok 202</w:t>
      </w:r>
      <w:r w:rsidR="00133A5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o činnosti v oblasti poskytování informací dle zákona č. 106/1999 Sb., obsahující následující informace:</w:t>
      </w:r>
    </w:p>
    <w:p w14:paraId="6FDF57EF" w14:textId="77777777" w:rsidR="00A71149" w:rsidRDefault="00A71149" w:rsidP="00A711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3D6941" w14:textId="77777777" w:rsidR="00A71149" w:rsidRDefault="00A71149" w:rsidP="00A711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FBBF26" w14:textId="77777777" w:rsidR="00A71149" w:rsidRDefault="00A71149" w:rsidP="00A71149">
      <w:pPr>
        <w:pStyle w:val="Odstavecseseznamem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Počet podaných žádostí o informace a počet vydaných rozhodnutí o odmítnutí žádosti </w:t>
      </w:r>
    </w:p>
    <w:p w14:paraId="40E0FB28" w14:textId="77777777" w:rsidR="00A71149" w:rsidRDefault="00A71149" w:rsidP="00A71149">
      <w:pPr>
        <w:pStyle w:val="Odstavecseseznamem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100C05" w14:textId="491FB7D9" w:rsidR="00A71149" w:rsidRDefault="00A71149" w:rsidP="00A71149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Úřad městské části Praha 9 obdržel celkem 12</w:t>
      </w:r>
      <w:r w:rsidR="0086318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žádostí o informace dle zákona                   č. 106/1999 Sb., z toho byla jedna vzata zpět. Byl</w:t>
      </w:r>
      <w:r w:rsidR="0034212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vydán</w:t>
      </w:r>
      <w:r w:rsidR="0034212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34212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rozhodnutí o odmítnutí žádosti a </w:t>
      </w:r>
      <w:r w:rsidR="0034212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rozhodnutí o částečném odmítnutí žádosti.</w:t>
      </w:r>
    </w:p>
    <w:p w14:paraId="0CA9D12B" w14:textId="77777777" w:rsidR="00A71149" w:rsidRDefault="00A71149" w:rsidP="00A71149">
      <w:pPr>
        <w:tabs>
          <w:tab w:val="left" w:pos="426"/>
        </w:tabs>
        <w:spacing w:after="0"/>
        <w:rPr>
          <w:rFonts w:ascii="Times New Roman" w:hAnsi="Times New Roman"/>
          <w:sz w:val="24"/>
          <w:szCs w:val="24"/>
        </w:rPr>
      </w:pPr>
    </w:p>
    <w:p w14:paraId="69CA1EAF" w14:textId="77777777" w:rsidR="00A71149" w:rsidRDefault="00A71149" w:rsidP="00A71149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Počet podaných odvolání proti rozhodnutí</w:t>
      </w:r>
    </w:p>
    <w:p w14:paraId="0A080508" w14:textId="77777777" w:rsidR="00A71149" w:rsidRDefault="00A71149" w:rsidP="00A71149">
      <w:pPr>
        <w:pStyle w:val="Odstavecseseznamem"/>
        <w:tabs>
          <w:tab w:val="left" w:pos="42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0B5B522" w14:textId="42D9A2F4" w:rsidR="00A71149" w:rsidRDefault="00BC50F4" w:rsidP="00A71149">
      <w:pPr>
        <w:tabs>
          <w:tab w:val="left" w:pos="426"/>
        </w:tabs>
        <w:spacing w:after="0"/>
        <w:ind w:left="709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Nebylo</w:t>
      </w:r>
      <w:r w:rsidR="00A71149">
        <w:rPr>
          <w:rFonts w:ascii="Times New Roman" w:hAnsi="Times New Roman"/>
          <w:sz w:val="24"/>
          <w:szCs w:val="24"/>
        </w:rPr>
        <w:t xml:space="preserve"> podáno</w:t>
      </w:r>
      <w:r>
        <w:rPr>
          <w:rFonts w:ascii="Times New Roman" w:hAnsi="Times New Roman"/>
          <w:sz w:val="24"/>
          <w:szCs w:val="24"/>
        </w:rPr>
        <w:t xml:space="preserve"> žádné</w:t>
      </w:r>
      <w:r w:rsidR="00A71149">
        <w:rPr>
          <w:rFonts w:ascii="Times New Roman" w:hAnsi="Times New Roman"/>
          <w:sz w:val="24"/>
          <w:szCs w:val="24"/>
        </w:rPr>
        <w:t xml:space="preserve"> odvolání proti rozhodnutí Úřadu městské části Praha 9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A71149">
        <w:rPr>
          <w:rFonts w:ascii="Times New Roman" w:hAnsi="Times New Roman"/>
          <w:sz w:val="24"/>
          <w:szCs w:val="24"/>
        </w:rPr>
        <w:t xml:space="preserve">o odmítnutí žádosti. </w:t>
      </w:r>
    </w:p>
    <w:p w14:paraId="05F2C028" w14:textId="77777777" w:rsidR="00A71149" w:rsidRDefault="00A71149" w:rsidP="00A71149">
      <w:pPr>
        <w:tabs>
          <w:tab w:val="left" w:pos="426"/>
        </w:tabs>
        <w:spacing w:after="0"/>
        <w:ind w:left="709" w:hanging="1"/>
        <w:jc w:val="both"/>
        <w:rPr>
          <w:rFonts w:ascii="Times New Roman" w:hAnsi="Times New Roman"/>
          <w:sz w:val="24"/>
          <w:szCs w:val="24"/>
        </w:rPr>
      </w:pPr>
    </w:p>
    <w:p w14:paraId="4CC27A19" w14:textId="77777777" w:rsidR="00A71149" w:rsidRDefault="00A71149" w:rsidP="00A71149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zákona 106/1999 Sb., a to včetně nákladů na své vlastní zaměstnance a nákladů na právní zastoupení</w:t>
      </w:r>
    </w:p>
    <w:p w14:paraId="5BD2FA6E" w14:textId="77777777" w:rsidR="00A71149" w:rsidRDefault="00A71149" w:rsidP="00A71149">
      <w:pPr>
        <w:pStyle w:val="Odstavecseseznamem"/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DE36A3" w14:textId="77777777" w:rsidR="00A71149" w:rsidRDefault="00A71149" w:rsidP="00A71149">
      <w:pPr>
        <w:pStyle w:val="Odstavecseseznamem"/>
        <w:tabs>
          <w:tab w:val="left" w:pos="284"/>
        </w:tabs>
        <w:spacing w:after="0"/>
        <w:ind w:left="709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Zákonnost rozhodnutí Úřadu městské části Praha 9 o odmítnutí žádosti o poskytnutí informace nebyla soudně projednávána, tudíž nevznikly žádné náklady.</w:t>
      </w:r>
    </w:p>
    <w:p w14:paraId="32E2DB8A" w14:textId="77777777" w:rsidR="00A71149" w:rsidRDefault="00A71149" w:rsidP="00A71149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0D0C2F" w14:textId="77777777" w:rsidR="00A71149" w:rsidRDefault="00A71149" w:rsidP="00A71149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Výše poskytnutých výhradních licencí, včetně odůvodnění nezbytnosti poskytnutí výhradní licence</w:t>
      </w:r>
    </w:p>
    <w:p w14:paraId="439932C0" w14:textId="77777777" w:rsidR="00A71149" w:rsidRDefault="00A71149" w:rsidP="00A71149">
      <w:pPr>
        <w:pStyle w:val="Odstavecseseznamem"/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73CDB1F" w14:textId="77777777" w:rsidR="00A71149" w:rsidRDefault="00A71149" w:rsidP="00A71149">
      <w:pPr>
        <w:tabs>
          <w:tab w:val="left" w:pos="42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Úřad městské části Praha 9 neposkytl žádnou výhradní licenci.</w:t>
      </w:r>
    </w:p>
    <w:p w14:paraId="24AF1944" w14:textId="77777777" w:rsidR="00A71149" w:rsidRDefault="00A71149" w:rsidP="00A71149">
      <w:pPr>
        <w:pStyle w:val="Odstavecseseznamem"/>
        <w:tabs>
          <w:tab w:val="left" w:pos="426"/>
        </w:tabs>
        <w:spacing w:after="0"/>
        <w:rPr>
          <w:rFonts w:ascii="Times New Roman" w:hAnsi="Times New Roman"/>
          <w:sz w:val="24"/>
          <w:szCs w:val="24"/>
        </w:rPr>
      </w:pPr>
    </w:p>
    <w:p w14:paraId="6C6919D8" w14:textId="77777777" w:rsidR="00A71149" w:rsidRDefault="00A71149" w:rsidP="00A71149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Počet stížností podaných podle § 16a zákona č. 106/1999 Sb., důvody jejich podání a stručný popis způsobu jejich vyřízení</w:t>
      </w:r>
    </w:p>
    <w:p w14:paraId="17117300" w14:textId="77777777" w:rsidR="00A71149" w:rsidRDefault="00A71149" w:rsidP="00A71149">
      <w:pPr>
        <w:pStyle w:val="Odstavecseseznamem"/>
        <w:tabs>
          <w:tab w:val="left" w:pos="42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13758079" w14:textId="068E29D7" w:rsidR="00A71149" w:rsidRDefault="00F263A1" w:rsidP="00A71149">
      <w:pPr>
        <w:tabs>
          <w:tab w:val="left" w:pos="709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Byla podána jedna</w:t>
      </w:r>
      <w:r w:rsidR="00A71149">
        <w:rPr>
          <w:rFonts w:ascii="Times New Roman" w:hAnsi="Times New Roman"/>
          <w:sz w:val="24"/>
          <w:szCs w:val="24"/>
        </w:rPr>
        <w:t xml:space="preserve"> stížnost</w:t>
      </w:r>
      <w:r w:rsidR="004B736C">
        <w:rPr>
          <w:rFonts w:ascii="Times New Roman" w:hAnsi="Times New Roman"/>
          <w:sz w:val="24"/>
          <w:szCs w:val="24"/>
        </w:rPr>
        <w:t xml:space="preserve"> dle § 16</w:t>
      </w:r>
      <w:r w:rsidR="00222DEC">
        <w:rPr>
          <w:rFonts w:ascii="Times New Roman" w:hAnsi="Times New Roman"/>
          <w:sz w:val="24"/>
          <w:szCs w:val="24"/>
        </w:rPr>
        <w:t>a</w:t>
      </w:r>
      <w:r w:rsidR="004B736C">
        <w:rPr>
          <w:rFonts w:ascii="Times New Roman" w:hAnsi="Times New Roman"/>
          <w:sz w:val="24"/>
          <w:szCs w:val="24"/>
        </w:rPr>
        <w:t xml:space="preserve"> zák. č. 106/199</w:t>
      </w:r>
      <w:r w:rsidR="00222DEC">
        <w:rPr>
          <w:rFonts w:ascii="Times New Roman" w:hAnsi="Times New Roman"/>
          <w:sz w:val="24"/>
          <w:szCs w:val="24"/>
        </w:rPr>
        <w:t>9</w:t>
      </w:r>
      <w:r w:rsidR="004B736C">
        <w:rPr>
          <w:rFonts w:ascii="Times New Roman" w:hAnsi="Times New Roman"/>
          <w:sz w:val="24"/>
          <w:szCs w:val="24"/>
        </w:rPr>
        <w:t xml:space="preserve"> Sb.</w:t>
      </w:r>
    </w:p>
    <w:p w14:paraId="37D2B171" w14:textId="69B43C91" w:rsidR="00150F4F" w:rsidRDefault="00150F4F" w:rsidP="00A71149">
      <w:pPr>
        <w:tabs>
          <w:tab w:val="left" w:pos="709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Stavební úřad </w:t>
      </w:r>
      <w:r w:rsidR="003B6E2F">
        <w:rPr>
          <w:rFonts w:ascii="Times New Roman" w:hAnsi="Times New Roman"/>
          <w:sz w:val="24"/>
          <w:szCs w:val="24"/>
        </w:rPr>
        <w:t xml:space="preserve">sdělením </w:t>
      </w:r>
      <w:r>
        <w:rPr>
          <w:rFonts w:ascii="Times New Roman" w:hAnsi="Times New Roman"/>
          <w:sz w:val="24"/>
          <w:szCs w:val="24"/>
        </w:rPr>
        <w:t>žádost odložil</w:t>
      </w:r>
      <w:r w:rsidR="0098193B">
        <w:rPr>
          <w:rFonts w:ascii="Times New Roman" w:hAnsi="Times New Roman"/>
          <w:sz w:val="24"/>
          <w:szCs w:val="24"/>
        </w:rPr>
        <w:t>,</w:t>
      </w:r>
      <w:r w:rsidR="0098193B" w:rsidRPr="0098193B">
        <w:rPr>
          <w:rFonts w:ascii="Times New Roman" w:hAnsi="Times New Roman"/>
          <w:sz w:val="24"/>
          <w:szCs w:val="24"/>
        </w:rPr>
        <w:t xml:space="preserve"> </w:t>
      </w:r>
      <w:r w:rsidR="0098193B">
        <w:rPr>
          <w:rFonts w:ascii="Times New Roman" w:hAnsi="Times New Roman"/>
          <w:sz w:val="24"/>
          <w:szCs w:val="24"/>
        </w:rPr>
        <w:t>dle § 14 odst. 5 písm. c). zákona o svobodném přístupu k informacím,</w:t>
      </w:r>
      <w:r>
        <w:rPr>
          <w:rFonts w:ascii="Times New Roman" w:hAnsi="Times New Roman"/>
          <w:sz w:val="24"/>
          <w:szCs w:val="24"/>
        </w:rPr>
        <w:t xml:space="preserve"> </w:t>
      </w:r>
      <w:r w:rsidR="003B6E2F">
        <w:rPr>
          <w:rFonts w:ascii="Times New Roman" w:hAnsi="Times New Roman"/>
          <w:sz w:val="24"/>
          <w:szCs w:val="24"/>
        </w:rPr>
        <w:t>v</w:t>
      </w:r>
      <w:r w:rsidR="00F17558">
        <w:rPr>
          <w:rFonts w:ascii="Times New Roman" w:hAnsi="Times New Roman"/>
          <w:sz w:val="24"/>
          <w:szCs w:val="24"/>
        </w:rPr>
        <w:t>zhledem k tomu, že žádos</w:t>
      </w:r>
      <w:r w:rsidR="003B6E2F">
        <w:rPr>
          <w:rFonts w:ascii="Times New Roman" w:hAnsi="Times New Roman"/>
          <w:sz w:val="24"/>
          <w:szCs w:val="24"/>
        </w:rPr>
        <w:t xml:space="preserve">t stěžovatele </w:t>
      </w:r>
      <w:r w:rsidR="00F17558">
        <w:rPr>
          <w:rFonts w:ascii="Times New Roman" w:hAnsi="Times New Roman"/>
          <w:sz w:val="24"/>
          <w:szCs w:val="24"/>
        </w:rPr>
        <w:t xml:space="preserve">je ve výlučné působnosti </w:t>
      </w:r>
      <w:r w:rsidR="00681BC7">
        <w:rPr>
          <w:rFonts w:ascii="Times New Roman" w:hAnsi="Times New Roman"/>
          <w:sz w:val="24"/>
          <w:szCs w:val="24"/>
        </w:rPr>
        <w:t>M</w:t>
      </w:r>
      <w:r w:rsidR="00F17558">
        <w:rPr>
          <w:rFonts w:ascii="Times New Roman" w:hAnsi="Times New Roman"/>
          <w:sz w:val="24"/>
          <w:szCs w:val="24"/>
        </w:rPr>
        <w:t>ěstské části Praha 21</w:t>
      </w:r>
      <w:r w:rsidR="0044780D">
        <w:rPr>
          <w:rFonts w:ascii="Times New Roman" w:hAnsi="Times New Roman"/>
          <w:sz w:val="24"/>
          <w:szCs w:val="24"/>
        </w:rPr>
        <w:t>.</w:t>
      </w:r>
      <w:r w:rsidR="00C60026">
        <w:rPr>
          <w:rFonts w:ascii="Times New Roman" w:hAnsi="Times New Roman"/>
          <w:sz w:val="24"/>
          <w:szCs w:val="24"/>
        </w:rPr>
        <w:t xml:space="preserve"> </w:t>
      </w:r>
      <w:r w:rsidR="003B6E2F">
        <w:rPr>
          <w:rFonts w:ascii="Times New Roman" w:hAnsi="Times New Roman"/>
          <w:sz w:val="24"/>
          <w:szCs w:val="24"/>
        </w:rPr>
        <w:t xml:space="preserve"> </w:t>
      </w:r>
      <w:r w:rsidR="00F17558">
        <w:rPr>
          <w:rFonts w:ascii="Times New Roman" w:hAnsi="Times New Roman"/>
          <w:sz w:val="24"/>
          <w:szCs w:val="24"/>
        </w:rPr>
        <w:t xml:space="preserve">Proti tomuto sdělení podal stěžovatel stížnost ke stavebnímu úřadu, ve kterém uvedl, že stavební úřad se při vyřizování jeho žádosti nezabýval otázkou, zda v minulosti nebyl věcně a místně příslušný ve věci předmětu jeho </w:t>
      </w:r>
      <w:proofErr w:type="gramStart"/>
      <w:r w:rsidR="00F17558">
        <w:rPr>
          <w:rFonts w:ascii="Times New Roman" w:hAnsi="Times New Roman"/>
          <w:sz w:val="24"/>
          <w:szCs w:val="24"/>
        </w:rPr>
        <w:t>žádosti</w:t>
      </w:r>
      <w:proofErr w:type="gramEnd"/>
      <w:r w:rsidR="00F17558">
        <w:rPr>
          <w:rFonts w:ascii="Times New Roman" w:hAnsi="Times New Roman"/>
          <w:sz w:val="24"/>
          <w:szCs w:val="24"/>
        </w:rPr>
        <w:t xml:space="preserve"> a proto požaduje způsob vyřízení žádosti stavebním úřadem za rozporný se zákonem. Odvolání bylo zasláno spolu se spisovým materiálem odvolacímu orgánu M</w:t>
      </w:r>
      <w:r w:rsidR="00146803">
        <w:rPr>
          <w:rFonts w:ascii="Times New Roman" w:hAnsi="Times New Roman"/>
          <w:sz w:val="24"/>
          <w:szCs w:val="24"/>
        </w:rPr>
        <w:t>agistrátu hl. m. Prahy.</w:t>
      </w:r>
      <w:r w:rsidR="00F17558">
        <w:rPr>
          <w:rFonts w:ascii="Times New Roman" w:hAnsi="Times New Roman"/>
          <w:sz w:val="24"/>
          <w:szCs w:val="24"/>
        </w:rPr>
        <w:t xml:space="preserve"> Nadřízený orgán stížnost shledal důvodnou </w:t>
      </w:r>
      <w:r w:rsidR="003B6E2F">
        <w:rPr>
          <w:rFonts w:ascii="Times New Roman" w:hAnsi="Times New Roman"/>
          <w:sz w:val="24"/>
          <w:szCs w:val="24"/>
        </w:rPr>
        <w:t xml:space="preserve">a přikázal </w:t>
      </w:r>
      <w:r w:rsidR="00F061BD">
        <w:rPr>
          <w:rFonts w:ascii="Times New Roman" w:hAnsi="Times New Roman"/>
          <w:sz w:val="24"/>
          <w:szCs w:val="24"/>
        </w:rPr>
        <w:t>stavebnímu úřadu stížnost vyřídit</w:t>
      </w:r>
      <w:r w:rsidR="00681BC7">
        <w:rPr>
          <w:rFonts w:ascii="Times New Roman" w:hAnsi="Times New Roman"/>
          <w:sz w:val="24"/>
          <w:szCs w:val="24"/>
        </w:rPr>
        <w:t xml:space="preserve"> s tím, že je nutné podrobně popsat, proč se požadované infor</w:t>
      </w:r>
      <w:r w:rsidR="00F95FF4">
        <w:rPr>
          <w:rFonts w:ascii="Times New Roman" w:hAnsi="Times New Roman"/>
          <w:sz w:val="24"/>
          <w:szCs w:val="24"/>
        </w:rPr>
        <w:t>m</w:t>
      </w:r>
      <w:r w:rsidR="00681BC7">
        <w:rPr>
          <w:rFonts w:ascii="Times New Roman" w:hAnsi="Times New Roman"/>
          <w:sz w:val="24"/>
          <w:szCs w:val="24"/>
        </w:rPr>
        <w:t>a</w:t>
      </w:r>
      <w:r w:rsidR="00F95FF4">
        <w:rPr>
          <w:rFonts w:ascii="Times New Roman" w:hAnsi="Times New Roman"/>
          <w:sz w:val="24"/>
          <w:szCs w:val="24"/>
        </w:rPr>
        <w:t>ce</w:t>
      </w:r>
      <w:r w:rsidR="00681BC7">
        <w:rPr>
          <w:rFonts w:ascii="Times New Roman" w:hAnsi="Times New Roman"/>
          <w:sz w:val="24"/>
          <w:szCs w:val="24"/>
        </w:rPr>
        <w:t xml:space="preserve"> k působnosti povinného subjektu nevztahuje. </w:t>
      </w:r>
      <w:r w:rsidR="00F061BD">
        <w:rPr>
          <w:rFonts w:ascii="Times New Roman" w:hAnsi="Times New Roman"/>
          <w:sz w:val="24"/>
          <w:szCs w:val="24"/>
        </w:rPr>
        <w:t xml:space="preserve">Na základě provedeného šetření v údajích vedených odborem výstavby a územního rozvoje, ÚMČ Praha 9, se v archivu úřadu MČ Praha 9 žádné dokumenty nenacházejí. Z tohoto důvodu vydal povinný subjekt rozhodnutí o odmítnutí žádosti, neboť se jedná o poskytnutí neexistujících informací. </w:t>
      </w:r>
      <w:r w:rsidR="003B6E2F">
        <w:rPr>
          <w:rFonts w:ascii="Times New Roman" w:hAnsi="Times New Roman"/>
          <w:sz w:val="24"/>
          <w:szCs w:val="24"/>
        </w:rPr>
        <w:t xml:space="preserve"> </w:t>
      </w:r>
    </w:p>
    <w:p w14:paraId="0E47FBD5" w14:textId="77777777" w:rsidR="00150F4F" w:rsidRDefault="00150F4F" w:rsidP="00A71149">
      <w:pPr>
        <w:tabs>
          <w:tab w:val="left" w:pos="709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1DCE61A6" w14:textId="77777777" w:rsidR="00A71149" w:rsidRDefault="00A71149" w:rsidP="00A7114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1184DFEB" w14:textId="77777777" w:rsidR="00A71149" w:rsidRDefault="00A71149" w:rsidP="00A71149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Další informace vztahující se k uplatňování tohoto zákona</w:t>
      </w:r>
    </w:p>
    <w:p w14:paraId="318F0035" w14:textId="77777777" w:rsidR="00A71149" w:rsidRDefault="00A71149" w:rsidP="00A71149">
      <w:pPr>
        <w:pStyle w:val="Odstavecseseznamem"/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607AFD1" w14:textId="77777777" w:rsidR="00A71149" w:rsidRDefault="00A71149" w:rsidP="00A71149">
      <w:pPr>
        <w:tabs>
          <w:tab w:val="left" w:pos="426"/>
        </w:tabs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hyperlink r:id="rId5" w:history="1">
        <w:r>
          <w:rPr>
            <w:rStyle w:val="Hypertextovodkaz"/>
            <w:rFonts w:eastAsiaTheme="majorEastAsia"/>
            <w:color w:val="auto"/>
            <w:sz w:val="24"/>
            <w:szCs w:val="24"/>
          </w:rPr>
          <w:t>https://www.praha9.cz/urad-a-samosprava/povinne-informace</w:t>
        </w:r>
      </w:hyperlink>
    </w:p>
    <w:p w14:paraId="7FF0D876" w14:textId="77777777" w:rsidR="00A71149" w:rsidRDefault="00621A5D" w:rsidP="00A71149">
      <w:pPr>
        <w:tabs>
          <w:tab w:val="left" w:pos="426"/>
        </w:tabs>
        <w:spacing w:after="0"/>
        <w:ind w:left="426"/>
        <w:rPr>
          <w:rFonts w:ascii="Times New Roman" w:hAnsi="Times New Roman"/>
          <w:sz w:val="24"/>
          <w:szCs w:val="24"/>
          <w:u w:val="single"/>
        </w:rPr>
      </w:pPr>
      <w:hyperlink r:id="rId6" w:history="1">
        <w:r w:rsidR="00A71149">
          <w:rPr>
            <w:rStyle w:val="Hypertextovodkaz"/>
            <w:rFonts w:eastAsiaTheme="majorEastAsia"/>
            <w:color w:val="auto"/>
            <w:sz w:val="24"/>
            <w:szCs w:val="24"/>
          </w:rPr>
          <w:t>praha9.cz/urad-a-samosprava/urad/smernice-o-postupu-pri-poskytovani-informaci-podle-z-c-106-19-</w:t>
        </w:r>
        <w:proofErr w:type="gramStart"/>
        <w:r w:rsidR="00A71149">
          <w:rPr>
            <w:rStyle w:val="Hypertextovodkaz"/>
            <w:rFonts w:eastAsiaTheme="majorEastAsia"/>
            <w:color w:val="auto"/>
            <w:sz w:val="24"/>
            <w:szCs w:val="24"/>
          </w:rPr>
          <w:t>99-sb</w:t>
        </w:r>
        <w:proofErr w:type="gramEnd"/>
      </w:hyperlink>
    </w:p>
    <w:p w14:paraId="55AD2A84" w14:textId="77777777" w:rsidR="00A71149" w:rsidRDefault="00621A5D" w:rsidP="00A71149">
      <w:pPr>
        <w:tabs>
          <w:tab w:val="left" w:pos="426"/>
        </w:tabs>
        <w:spacing w:after="0"/>
        <w:ind w:left="426"/>
        <w:rPr>
          <w:rFonts w:ascii="Times New Roman" w:hAnsi="Times New Roman"/>
          <w:sz w:val="24"/>
          <w:szCs w:val="24"/>
          <w:u w:val="single"/>
        </w:rPr>
      </w:pPr>
      <w:hyperlink r:id="rId7" w:history="1">
        <w:r w:rsidR="00A71149">
          <w:rPr>
            <w:rStyle w:val="Hypertextovodkaz"/>
            <w:rFonts w:eastAsiaTheme="majorEastAsia"/>
            <w:color w:val="auto"/>
            <w:sz w:val="24"/>
            <w:szCs w:val="24"/>
          </w:rPr>
          <w:t>https://praha9.cz/formular-zadost-o-poskytnuti-informace-sazebnik-uhrad</w:t>
        </w:r>
      </w:hyperlink>
    </w:p>
    <w:p w14:paraId="6F44E956" w14:textId="77777777" w:rsidR="00A71149" w:rsidRDefault="00A71149" w:rsidP="00A71149">
      <w:pPr>
        <w:tabs>
          <w:tab w:val="left" w:pos="426"/>
        </w:tabs>
        <w:spacing w:after="0"/>
        <w:ind w:left="426"/>
        <w:rPr>
          <w:rFonts w:ascii="Times New Roman" w:hAnsi="Times New Roman"/>
          <w:sz w:val="24"/>
          <w:szCs w:val="24"/>
          <w:u w:val="single"/>
        </w:rPr>
      </w:pPr>
    </w:p>
    <w:p w14:paraId="41B86AD9" w14:textId="77777777" w:rsidR="00A71149" w:rsidRDefault="00A71149" w:rsidP="00A71149">
      <w:pPr>
        <w:pStyle w:val="Odstavecseseznamem"/>
        <w:tabs>
          <w:tab w:val="left" w:pos="426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5AE7E22B" w14:textId="77777777" w:rsidR="00A71149" w:rsidRDefault="00A71149" w:rsidP="00A71149">
      <w:pPr>
        <w:pStyle w:val="Odstavecseseznamem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Úřad městské části Praha 9 nemá žádným zvláštním zákonem uloženou povinnost předkládat veřejnou výroční zprávu.</w:t>
      </w:r>
    </w:p>
    <w:p w14:paraId="0CDC7593" w14:textId="77777777" w:rsidR="00A71149" w:rsidRDefault="00A71149" w:rsidP="00A71149">
      <w:pPr>
        <w:pStyle w:val="Odstavecseseznamem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009735BD" w14:textId="77777777" w:rsidR="00A71149" w:rsidRDefault="00A71149" w:rsidP="00A71149">
      <w:pPr>
        <w:pStyle w:val="Odstavecseseznamem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43F54304" w14:textId="77777777" w:rsidR="00A71149" w:rsidRDefault="00A71149" w:rsidP="00A71149">
      <w:pPr>
        <w:pStyle w:val="Odstavecseseznamem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3318C280" w14:textId="77777777" w:rsidR="00A71149" w:rsidRDefault="00A71149" w:rsidP="00A71149">
      <w:pPr>
        <w:pStyle w:val="Odstavecseseznamem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57EA89D5" w14:textId="6F0A5477" w:rsidR="00A71149" w:rsidRDefault="00A71149" w:rsidP="00A71149">
      <w:pPr>
        <w:pStyle w:val="Odstavecseseznamem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 dne 2</w:t>
      </w:r>
      <w:r w:rsidR="00930B1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1. 202</w:t>
      </w:r>
      <w:r w:rsidR="004877CD">
        <w:rPr>
          <w:rFonts w:ascii="Times New Roman" w:hAnsi="Times New Roman"/>
          <w:sz w:val="24"/>
          <w:szCs w:val="24"/>
        </w:rPr>
        <w:t>6</w:t>
      </w:r>
    </w:p>
    <w:p w14:paraId="5BB68858" w14:textId="77777777" w:rsidR="00A71149" w:rsidRDefault="00A71149" w:rsidP="00A71149">
      <w:pPr>
        <w:pStyle w:val="Odstavecseseznamem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04997B41" w14:textId="77777777" w:rsidR="00A71149" w:rsidRDefault="00A71149" w:rsidP="00A71149">
      <w:pPr>
        <w:pStyle w:val="Odstavecseseznamem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0F1A1394" w14:textId="77777777" w:rsidR="00A71149" w:rsidRDefault="00A71149" w:rsidP="00A71149">
      <w:pPr>
        <w:spacing w:after="0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766DD99F" w14:textId="77777777" w:rsidR="00A71149" w:rsidRDefault="00A71149" w:rsidP="00A71149">
      <w:pPr>
        <w:spacing w:after="0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6F42A630" w14:textId="77777777" w:rsidR="00A71149" w:rsidRDefault="00A71149" w:rsidP="00A71149">
      <w:pPr>
        <w:spacing w:after="0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6AEE8256" w14:textId="77777777" w:rsidR="00A71149" w:rsidRDefault="00A71149" w:rsidP="00A71149">
      <w:pPr>
        <w:spacing w:after="0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Ing. Leoš T o m a n</w:t>
      </w:r>
    </w:p>
    <w:p w14:paraId="5B0B03AB" w14:textId="77777777" w:rsidR="00A71149" w:rsidRDefault="00A71149" w:rsidP="00A711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tajemník Úřadu městské části Praha 9</w:t>
      </w:r>
    </w:p>
    <w:p w14:paraId="50989CA6" w14:textId="77777777" w:rsidR="00A71149" w:rsidRDefault="00A71149" w:rsidP="00A71149"/>
    <w:p w14:paraId="404D0B71" w14:textId="77777777" w:rsidR="00341688" w:rsidRDefault="00341688"/>
    <w:sectPr w:rsidR="0034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831C1"/>
    <w:multiLevelType w:val="hybridMultilevel"/>
    <w:tmpl w:val="B3343EE0"/>
    <w:lvl w:ilvl="0" w:tplc="86001BA8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4621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49"/>
    <w:rsid w:val="00121218"/>
    <w:rsid w:val="00133A55"/>
    <w:rsid w:val="00146803"/>
    <w:rsid w:val="00150F4F"/>
    <w:rsid w:val="001837E5"/>
    <w:rsid w:val="001958A1"/>
    <w:rsid w:val="001F0FB5"/>
    <w:rsid w:val="00222DEC"/>
    <w:rsid w:val="0033114B"/>
    <w:rsid w:val="00341688"/>
    <w:rsid w:val="00342123"/>
    <w:rsid w:val="003926B7"/>
    <w:rsid w:val="003B6E2F"/>
    <w:rsid w:val="0044780D"/>
    <w:rsid w:val="004877CD"/>
    <w:rsid w:val="004B736C"/>
    <w:rsid w:val="00555550"/>
    <w:rsid w:val="005A4AC2"/>
    <w:rsid w:val="005C319A"/>
    <w:rsid w:val="005F05CB"/>
    <w:rsid w:val="00621A5D"/>
    <w:rsid w:val="00626DA2"/>
    <w:rsid w:val="00681BC7"/>
    <w:rsid w:val="006D56D2"/>
    <w:rsid w:val="00737E97"/>
    <w:rsid w:val="00863180"/>
    <w:rsid w:val="00877767"/>
    <w:rsid w:val="00930B16"/>
    <w:rsid w:val="0098193B"/>
    <w:rsid w:val="009F519E"/>
    <w:rsid w:val="00A71149"/>
    <w:rsid w:val="00AC62FF"/>
    <w:rsid w:val="00BC50F4"/>
    <w:rsid w:val="00BE0EDE"/>
    <w:rsid w:val="00C60026"/>
    <w:rsid w:val="00CC253C"/>
    <w:rsid w:val="00CC390F"/>
    <w:rsid w:val="00D41788"/>
    <w:rsid w:val="00DF09BA"/>
    <w:rsid w:val="00E94694"/>
    <w:rsid w:val="00EA39E1"/>
    <w:rsid w:val="00EB7E57"/>
    <w:rsid w:val="00EC31DD"/>
    <w:rsid w:val="00ED1117"/>
    <w:rsid w:val="00F061BD"/>
    <w:rsid w:val="00F17558"/>
    <w:rsid w:val="00F263A1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C16F"/>
  <w15:chartTrackingRefBased/>
  <w15:docId w15:val="{4338FD42-DC1C-44C7-9E0A-A1FCFE6C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14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7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11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11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1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1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1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1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11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11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11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114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114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11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11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11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11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1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1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11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711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114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11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114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114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A711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ha9.cz/formular-zadost-o-poskytnuti-informace-sazebnik-uhr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infrastructure\users$\documents\sobotkoval\My%20Documents\HOUTOVA%20Veronika\Zve&#345;ej&#328;ov&#225;n&#237;%20106_2025_\praha9.cz\urad-a-samosprava\urad\smernice-o-postupu-pri-poskytovani-informaci-podle-z-c-106-19-99-sb" TargetMode="External"/><Relationship Id="rId5" Type="http://schemas.openxmlformats.org/officeDocument/2006/relationships/hyperlink" Target="https://www.praha9.cz/urad-a-samosprava/povinne-informa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9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Sobotková Lenka (ÚMČP.9)</dc:creator>
  <cp:keywords/>
  <dc:description/>
  <cp:lastModifiedBy>Sobotková Lenka (ÚMČP.9)</cp:lastModifiedBy>
  <cp:revision>55</cp:revision>
  <cp:lastPrinted>2026-02-02T14:34:00Z</cp:lastPrinted>
  <dcterms:created xsi:type="dcterms:W3CDTF">2026-01-12T14:31:00Z</dcterms:created>
  <dcterms:modified xsi:type="dcterms:W3CDTF">2026-02-02T14:34:00Z</dcterms:modified>
</cp:coreProperties>
</file>