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84" w:rsidRDefault="00080984" w:rsidP="00080984">
      <w:pPr>
        <w:pStyle w:val="Nzev"/>
        <w:rPr>
          <w:b/>
          <w:sz w:val="36"/>
          <w:szCs w:val="36"/>
        </w:rPr>
      </w:pPr>
      <w:r w:rsidRPr="0092214D">
        <w:rPr>
          <w:b/>
          <w:sz w:val="36"/>
          <w:szCs w:val="36"/>
        </w:rPr>
        <w:t>Zápis z jednání bytové komise</w:t>
      </w:r>
    </w:p>
    <w:p w:rsidR="00080984" w:rsidRDefault="00080984" w:rsidP="00080984">
      <w:pPr>
        <w:pStyle w:val="Nzev"/>
      </w:pPr>
      <w:r>
        <w:t xml:space="preserve"> konané dne </w:t>
      </w:r>
      <w:proofErr w:type="gramStart"/>
      <w:r w:rsidR="002D3BB6">
        <w:t>13.0</w:t>
      </w:r>
      <w:r w:rsidR="00A01675">
        <w:t>3</w:t>
      </w:r>
      <w:r w:rsidR="002D3BB6">
        <w:t>.2023</w:t>
      </w:r>
      <w:proofErr w:type="gramEnd"/>
      <w:r>
        <w:t xml:space="preserve">                                      </w:t>
      </w:r>
    </w:p>
    <w:p w:rsidR="002D3BB6" w:rsidRPr="002D3BB6" w:rsidRDefault="002D3BB6" w:rsidP="002D3BB6">
      <w:pPr>
        <w:jc w:val="both"/>
        <w:rPr>
          <w:sz w:val="24"/>
        </w:rPr>
      </w:pPr>
    </w:p>
    <w:p w:rsidR="002D3BB6" w:rsidRPr="002D3BB6" w:rsidRDefault="002D3BB6" w:rsidP="002D3BB6">
      <w:pPr>
        <w:jc w:val="both"/>
        <w:rPr>
          <w:sz w:val="24"/>
          <w:szCs w:val="24"/>
        </w:rPr>
      </w:pPr>
      <w:r>
        <w:rPr>
          <w:sz w:val="24"/>
          <w:szCs w:val="24"/>
        </w:rPr>
        <w:t>Přítomni</w:t>
      </w:r>
      <w:r w:rsidRPr="002D3BB6">
        <w:rPr>
          <w:sz w:val="24"/>
          <w:szCs w:val="24"/>
        </w:rPr>
        <w:t xml:space="preserve">:  </w:t>
      </w:r>
    </w:p>
    <w:p w:rsidR="002D3BB6" w:rsidRPr="002D3BB6" w:rsidRDefault="002D3BB6" w:rsidP="002D3BB6">
      <w:pPr>
        <w:jc w:val="both"/>
        <w:rPr>
          <w:sz w:val="24"/>
          <w:szCs w:val="24"/>
        </w:rPr>
      </w:pPr>
    </w:p>
    <w:p w:rsidR="002D3BB6" w:rsidRDefault="002D3BB6" w:rsidP="002D3BB6">
      <w:pPr>
        <w:jc w:val="both"/>
        <w:rPr>
          <w:sz w:val="24"/>
          <w:szCs w:val="24"/>
        </w:rPr>
      </w:pPr>
      <w:r w:rsidRPr="002D3BB6">
        <w:rPr>
          <w:sz w:val="24"/>
          <w:szCs w:val="24"/>
        </w:rPr>
        <w:t>Ing. Zdeněk Davídek, Bc. Jan Poupě, JUDr. Jana Nowaková Těmínová, Ing. Jiří Janák, Bc. et Bc. Vladimíra Mušálková, Lukáš Dančevský, Mgr. Martin Kulíček, Ing. Luboš Havránek, Roman Kolář</w:t>
      </w:r>
      <w:r w:rsidR="00A01675">
        <w:rPr>
          <w:sz w:val="24"/>
          <w:szCs w:val="24"/>
        </w:rPr>
        <w:t>,</w:t>
      </w:r>
      <w:r>
        <w:rPr>
          <w:sz w:val="24"/>
          <w:szCs w:val="24"/>
        </w:rPr>
        <w:t xml:space="preserve"> Mgr. et Mgr. Ilona Chromová</w:t>
      </w:r>
    </w:p>
    <w:p w:rsidR="00080984" w:rsidRPr="002D3BB6" w:rsidRDefault="002D3BB6" w:rsidP="002D3BB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D1425" w:rsidRDefault="00345A3E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>Tajemník</w:t>
      </w:r>
      <w:r w:rsidR="00A01675">
        <w:rPr>
          <w:sz w:val="24"/>
          <w:szCs w:val="24"/>
        </w:rPr>
        <w:t xml:space="preserve">:  </w:t>
      </w:r>
      <w:r w:rsidR="000D1425">
        <w:rPr>
          <w:sz w:val="24"/>
          <w:szCs w:val="24"/>
        </w:rPr>
        <w:t>Mgr. Zuzana Mikisková</w:t>
      </w:r>
    </w:p>
    <w:p w:rsidR="00345A3E" w:rsidRDefault="00345A3E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3F54" w:rsidRDefault="004B3F54" w:rsidP="000D1425">
      <w:pPr>
        <w:ind w:firstLine="567"/>
        <w:jc w:val="both"/>
        <w:rPr>
          <w:sz w:val="24"/>
          <w:szCs w:val="24"/>
        </w:rPr>
      </w:pPr>
    </w:p>
    <w:p w:rsidR="00A01675" w:rsidRDefault="002D3BB6" w:rsidP="004B3F54">
      <w:pPr>
        <w:jc w:val="both"/>
        <w:rPr>
          <w:sz w:val="24"/>
          <w:szCs w:val="24"/>
        </w:rPr>
      </w:pPr>
      <w:r w:rsidRPr="002D3BB6">
        <w:rPr>
          <w:sz w:val="24"/>
          <w:szCs w:val="24"/>
        </w:rPr>
        <w:t xml:space="preserve">Bytová komise </w:t>
      </w:r>
      <w:r w:rsidR="00905C5C">
        <w:rPr>
          <w:sz w:val="24"/>
          <w:szCs w:val="24"/>
        </w:rPr>
        <w:t xml:space="preserve">byla seznámena s aktuální </w:t>
      </w:r>
      <w:r w:rsidR="00A01675">
        <w:rPr>
          <w:sz w:val="24"/>
          <w:szCs w:val="24"/>
        </w:rPr>
        <w:t>situací ohledně možnost</w:t>
      </w:r>
      <w:r w:rsidR="00A60FB5">
        <w:rPr>
          <w:sz w:val="24"/>
          <w:szCs w:val="24"/>
        </w:rPr>
        <w:t>í</w:t>
      </w:r>
      <w:r w:rsidR="00A01675">
        <w:rPr>
          <w:sz w:val="24"/>
          <w:szCs w:val="24"/>
        </w:rPr>
        <w:t xml:space="preserve"> </w:t>
      </w:r>
      <w:r w:rsidR="00A01675" w:rsidRPr="00F35842">
        <w:rPr>
          <w:b/>
          <w:sz w:val="24"/>
          <w:szCs w:val="24"/>
        </w:rPr>
        <w:t>zvyšování nájemného v bytech MČ</w:t>
      </w:r>
      <w:r w:rsidR="00A01675">
        <w:rPr>
          <w:sz w:val="24"/>
          <w:szCs w:val="24"/>
        </w:rPr>
        <w:t xml:space="preserve"> </w:t>
      </w:r>
      <w:r w:rsidR="00A01675" w:rsidRPr="00F35842">
        <w:rPr>
          <w:b/>
          <w:sz w:val="24"/>
          <w:szCs w:val="24"/>
        </w:rPr>
        <w:t>Praha 9.</w:t>
      </w:r>
      <w:r w:rsidR="00A01675">
        <w:rPr>
          <w:sz w:val="24"/>
          <w:szCs w:val="24"/>
        </w:rPr>
        <w:t xml:space="preserve"> Konečné </w:t>
      </w:r>
      <w:r w:rsidR="00CA1F56">
        <w:rPr>
          <w:sz w:val="24"/>
          <w:szCs w:val="24"/>
        </w:rPr>
        <w:t xml:space="preserve">právní </w:t>
      </w:r>
      <w:r w:rsidR="00A01675">
        <w:rPr>
          <w:sz w:val="24"/>
          <w:szCs w:val="24"/>
        </w:rPr>
        <w:t xml:space="preserve">stanovisko ještě není k dispozici, mimo to je věc </w:t>
      </w:r>
      <w:r w:rsidR="00A60FB5">
        <w:rPr>
          <w:sz w:val="24"/>
          <w:szCs w:val="24"/>
        </w:rPr>
        <w:t xml:space="preserve">také </w:t>
      </w:r>
      <w:r w:rsidR="00A01675">
        <w:rPr>
          <w:sz w:val="24"/>
          <w:szCs w:val="24"/>
        </w:rPr>
        <w:t>konzultována s Ministerstvem pro místní rozvoj (jedná se o posouzení, zda lze zvýšit nájemné o 20% z nájemného stanoveného na cílovou částku při posledním jednostranném zvýšení, nebo z nájemného po poskytnuté slevě).</w:t>
      </w:r>
    </w:p>
    <w:p w:rsidR="00A01675" w:rsidRDefault="00A01675" w:rsidP="004B3F54">
      <w:pPr>
        <w:jc w:val="both"/>
        <w:rPr>
          <w:sz w:val="24"/>
          <w:szCs w:val="24"/>
        </w:rPr>
      </w:pPr>
    </w:p>
    <w:p w:rsidR="00A01675" w:rsidRDefault="00A01675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>Bytová komise uložila OSM zjistit údaje v absolutních číslech o tom, kolik se vyber</w:t>
      </w:r>
      <w:r w:rsidR="00A60FB5">
        <w:rPr>
          <w:sz w:val="24"/>
          <w:szCs w:val="24"/>
        </w:rPr>
        <w:t>e na nájemném za měsíc aktuálně a</w:t>
      </w:r>
      <w:r>
        <w:rPr>
          <w:sz w:val="24"/>
          <w:szCs w:val="24"/>
        </w:rPr>
        <w:t xml:space="preserve"> kolik by se vybralo při 96 Kč/m²</w:t>
      </w:r>
      <w:r w:rsidR="00180869">
        <w:rPr>
          <w:sz w:val="24"/>
          <w:szCs w:val="24"/>
        </w:rPr>
        <w:t>, 141 Kč/m</w:t>
      </w:r>
      <w:r w:rsidR="00180869">
        <w:rPr>
          <w:sz w:val="24"/>
          <w:szCs w:val="24"/>
          <w:vertAlign w:val="superscript"/>
        </w:rPr>
        <w:t>2</w:t>
      </w:r>
      <w:r w:rsidR="00180869">
        <w:rPr>
          <w:sz w:val="24"/>
          <w:szCs w:val="24"/>
        </w:rPr>
        <w:t>, 126 Kč/m</w:t>
      </w:r>
      <w:r w:rsidR="00180869">
        <w:rPr>
          <w:sz w:val="24"/>
          <w:szCs w:val="24"/>
          <w:vertAlign w:val="superscript"/>
        </w:rPr>
        <w:t>2</w:t>
      </w:r>
      <w:r w:rsidR="00180869">
        <w:rPr>
          <w:sz w:val="24"/>
          <w:szCs w:val="24"/>
        </w:rPr>
        <w:t xml:space="preserve"> a 160 Kč/m</w:t>
      </w:r>
      <w:r w:rsidR="00180869">
        <w:rPr>
          <w:sz w:val="24"/>
          <w:szCs w:val="24"/>
          <w:vertAlign w:val="superscript"/>
        </w:rPr>
        <w:t>2</w:t>
      </w:r>
      <w:r w:rsidR="00180869">
        <w:rPr>
          <w:sz w:val="24"/>
          <w:szCs w:val="24"/>
        </w:rPr>
        <w:t xml:space="preserve"> (průměr při zvyšování o 20% cílových částek pro Prosek a Vysočany).</w:t>
      </w:r>
    </w:p>
    <w:p w:rsidR="00180869" w:rsidRDefault="00180869" w:rsidP="004B3F54">
      <w:pPr>
        <w:jc w:val="both"/>
        <w:rPr>
          <w:sz w:val="24"/>
          <w:szCs w:val="24"/>
        </w:rPr>
      </w:pPr>
    </w:p>
    <w:p w:rsidR="00180869" w:rsidRDefault="00180869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>BK řešila situac</w:t>
      </w:r>
      <w:r w:rsidR="00A60FB5">
        <w:rPr>
          <w:sz w:val="24"/>
          <w:szCs w:val="24"/>
        </w:rPr>
        <w:t>i</w:t>
      </w:r>
      <w:r>
        <w:rPr>
          <w:sz w:val="24"/>
          <w:szCs w:val="24"/>
        </w:rPr>
        <w:t xml:space="preserve"> u prodlužování nájemních smluv na dobu určitou do doby rozhodnutí o zvýšení nájemného. </w:t>
      </w:r>
      <w:r w:rsidRPr="00F35842">
        <w:rPr>
          <w:b/>
          <w:sz w:val="24"/>
          <w:szCs w:val="24"/>
        </w:rPr>
        <w:t>Doporučila uzavírat prodloužení smluv za stávajících podmínek do 30. 06. 2023</w:t>
      </w:r>
    </w:p>
    <w:p w:rsidR="00180869" w:rsidRDefault="00180869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>(pro: 10)</w:t>
      </w:r>
      <w:r w:rsidR="00536F01">
        <w:rPr>
          <w:sz w:val="24"/>
          <w:szCs w:val="24"/>
        </w:rPr>
        <w:t>.</w:t>
      </w:r>
    </w:p>
    <w:p w:rsidR="00536F01" w:rsidRDefault="00536F01" w:rsidP="004B3F54">
      <w:pPr>
        <w:jc w:val="both"/>
        <w:rPr>
          <w:sz w:val="24"/>
          <w:szCs w:val="24"/>
        </w:rPr>
      </w:pPr>
    </w:p>
    <w:p w:rsidR="00536F01" w:rsidRDefault="00536F01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>Dále BK řešila výši nájemného pro nově uzavírané nájemní smlouvy k bytům, jednala o částkách odpovídajících zvýšení cílové částky pro oblast Prosek, Střížkov o 20% (tj. 150 Kč/m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zvýšení cílové částky pro oblast Vysočany, Libeň (tj. 170 Kč/m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), či jejich průměru </w:t>
      </w:r>
      <w:r w:rsidR="00F35842">
        <w:rPr>
          <w:sz w:val="24"/>
          <w:szCs w:val="24"/>
        </w:rPr>
        <w:t>(tj. 160 Kč/m</w:t>
      </w:r>
      <w:r w:rsidR="00F35842">
        <w:rPr>
          <w:sz w:val="24"/>
          <w:szCs w:val="24"/>
          <w:vertAlign w:val="superscript"/>
        </w:rPr>
        <w:t>2</w:t>
      </w:r>
      <w:r w:rsidR="00F35842">
        <w:rPr>
          <w:sz w:val="24"/>
          <w:szCs w:val="24"/>
        </w:rPr>
        <w:t xml:space="preserve">). </w:t>
      </w:r>
      <w:r w:rsidR="00F35842" w:rsidRPr="00F35842">
        <w:rPr>
          <w:b/>
          <w:sz w:val="24"/>
          <w:szCs w:val="24"/>
        </w:rPr>
        <w:t>BK většinou doporučila uzavírat nové nájemní smlouvy k bytům za 170 Kč/m</w:t>
      </w:r>
      <w:r w:rsidR="00F35842" w:rsidRPr="00F35842">
        <w:rPr>
          <w:b/>
          <w:sz w:val="24"/>
          <w:szCs w:val="24"/>
          <w:vertAlign w:val="superscript"/>
        </w:rPr>
        <w:t>2</w:t>
      </w:r>
      <w:r w:rsidR="00CA1F56">
        <w:rPr>
          <w:b/>
          <w:sz w:val="24"/>
          <w:szCs w:val="24"/>
        </w:rPr>
        <w:t xml:space="preserve"> na dobu určitou 2 roky bez rozlišení lokality.</w:t>
      </w:r>
    </w:p>
    <w:p w:rsidR="00F35842" w:rsidRPr="00F35842" w:rsidRDefault="00F35842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>(150 Kč/m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- 1 pro, 160 Kč/m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- 2 pro, 170 Kč/m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- 7 pro)</w:t>
      </w:r>
    </w:p>
    <w:p w:rsidR="00A01675" w:rsidRDefault="00A01675" w:rsidP="004B3F54">
      <w:pPr>
        <w:jc w:val="both"/>
        <w:rPr>
          <w:sz w:val="24"/>
          <w:szCs w:val="24"/>
        </w:rPr>
      </w:pPr>
    </w:p>
    <w:p w:rsidR="00F35842" w:rsidRDefault="00F35842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>Dále se BK zabývala</w:t>
      </w:r>
      <w:r w:rsidR="009A4826">
        <w:rPr>
          <w:sz w:val="24"/>
          <w:szCs w:val="24"/>
        </w:rPr>
        <w:t xml:space="preserve"> případnou </w:t>
      </w:r>
      <w:r w:rsidR="009A4826" w:rsidRPr="009A4826">
        <w:rPr>
          <w:b/>
          <w:sz w:val="24"/>
          <w:szCs w:val="24"/>
        </w:rPr>
        <w:t>změnou Zásad pronajímání bytů MČ Praha 9</w:t>
      </w:r>
      <w:r w:rsidR="006B15D0">
        <w:rPr>
          <w:b/>
          <w:sz w:val="24"/>
          <w:szCs w:val="24"/>
        </w:rPr>
        <w:t xml:space="preserve"> (dále jen Zásad</w:t>
      </w:r>
      <w:r w:rsidR="00F337E7">
        <w:rPr>
          <w:b/>
          <w:sz w:val="24"/>
          <w:szCs w:val="24"/>
        </w:rPr>
        <w:t>)</w:t>
      </w:r>
      <w:r w:rsidR="009A4826" w:rsidRPr="009A4826">
        <w:rPr>
          <w:b/>
          <w:sz w:val="24"/>
          <w:szCs w:val="24"/>
        </w:rPr>
        <w:t>.</w:t>
      </w:r>
      <w:r w:rsidR="009A4826">
        <w:rPr>
          <w:sz w:val="24"/>
          <w:szCs w:val="24"/>
        </w:rPr>
        <w:t xml:space="preserve"> V této souvislosti zazněly od členů bytové komise tyto návrhy na změny a úpravy Zásad:</w:t>
      </w:r>
    </w:p>
    <w:p w:rsidR="009A4826" w:rsidRDefault="009A4826" w:rsidP="009A482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Odlišit v Zásadách přidělování bytů pro žadatele a pro podporované profese (s tím souvisí podnět k vypracování</w:t>
      </w:r>
      <w:r w:rsidR="00CA1F56">
        <w:rPr>
          <w:sz w:val="24"/>
          <w:szCs w:val="24"/>
        </w:rPr>
        <w:t xml:space="preserve"> jednotných zásad pro všechny způsoby</w:t>
      </w:r>
      <w:bookmarkStart w:id="0" w:name="_GoBack"/>
      <w:bookmarkEnd w:id="0"/>
      <w:r>
        <w:rPr>
          <w:sz w:val="24"/>
          <w:szCs w:val="24"/>
        </w:rPr>
        <w:t xml:space="preserve"> přidělování bytů, včetně výběrového řízení za tržní nájemné)</w:t>
      </w:r>
    </w:p>
    <w:p w:rsidR="009A4826" w:rsidRDefault="009A4826" w:rsidP="009A482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6B15D0">
        <w:rPr>
          <w:sz w:val="24"/>
          <w:szCs w:val="24"/>
        </w:rPr>
        <w:t>Z</w:t>
      </w:r>
      <w:r>
        <w:rPr>
          <w:sz w:val="24"/>
          <w:szCs w:val="24"/>
        </w:rPr>
        <w:t>ásad pro žadatele včlenit tabulku bodového hodnocení</w:t>
      </w:r>
    </w:p>
    <w:p w:rsidR="009A4826" w:rsidRDefault="00165319" w:rsidP="009A482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r w:rsidR="006B15D0">
        <w:rPr>
          <w:sz w:val="24"/>
          <w:szCs w:val="24"/>
        </w:rPr>
        <w:t>Z</w:t>
      </w:r>
      <w:r>
        <w:rPr>
          <w:sz w:val="24"/>
          <w:szCs w:val="24"/>
        </w:rPr>
        <w:t>ásadách zachovat „vymezené příjmy“ žadatelů</w:t>
      </w:r>
    </w:p>
    <w:p w:rsidR="00165319" w:rsidRDefault="00165319" w:rsidP="009A482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Podnět k diskusi o požadované délce trvalého pobytu žadatele a otázce podmínky, že žadatel nesmí být nájemcem jiného bytu v Praze a Středočeském kraji</w:t>
      </w:r>
    </w:p>
    <w:p w:rsidR="006B15D0" w:rsidRDefault="006B15D0" w:rsidP="009A482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Zpřesnit ustanovení o tom, že příjmy žadatele nesmí pocházet výhradně ze sociálních dávek v tom smyslu, že se to netýká důchodů, mateřské a rodičovského příspěvku.</w:t>
      </w:r>
    </w:p>
    <w:p w:rsidR="006B15D0" w:rsidRDefault="006B15D0" w:rsidP="009A482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bodu 8, v článku 2 Zásad přidat jako překážku přijetí žádosti kromě obsazení bytu bez právního důvodu ještě </w:t>
      </w:r>
      <w:proofErr w:type="spellStart"/>
      <w:r>
        <w:rPr>
          <w:sz w:val="24"/>
          <w:szCs w:val="24"/>
        </w:rPr>
        <w:t>podnajímání</w:t>
      </w:r>
      <w:proofErr w:type="spellEnd"/>
      <w:r>
        <w:rPr>
          <w:sz w:val="24"/>
          <w:szCs w:val="24"/>
        </w:rPr>
        <w:t xml:space="preserve"> bytu bez souhlasu pronajímatele</w:t>
      </w:r>
    </w:p>
    <w:p w:rsidR="006B15D0" w:rsidRDefault="006B15D0" w:rsidP="009A482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Podnět na změkčení bodu 9, v</w:t>
      </w:r>
      <w:r w:rsidR="00A60FB5">
        <w:rPr>
          <w:sz w:val="24"/>
          <w:szCs w:val="24"/>
        </w:rPr>
        <w:t> </w:t>
      </w:r>
      <w:r>
        <w:rPr>
          <w:sz w:val="24"/>
          <w:szCs w:val="24"/>
        </w:rPr>
        <w:t>článku</w:t>
      </w:r>
      <w:r w:rsidR="00A60FB5">
        <w:rPr>
          <w:sz w:val="24"/>
          <w:szCs w:val="24"/>
        </w:rPr>
        <w:t xml:space="preserve"> </w:t>
      </w:r>
      <w:r>
        <w:rPr>
          <w:sz w:val="24"/>
          <w:szCs w:val="24"/>
        </w:rPr>
        <w:t>2 Zásad – vyřazení žadatele, který byl za posledních 24 měsíců v prodlení s úhradou jakéhokoli závazku vů</w:t>
      </w:r>
      <w:r w:rsidR="00905C5C">
        <w:rPr>
          <w:sz w:val="24"/>
          <w:szCs w:val="24"/>
        </w:rPr>
        <w:t>či MČ Praha 9, nebo byl v prodl</w:t>
      </w:r>
      <w:r>
        <w:rPr>
          <w:sz w:val="24"/>
          <w:szCs w:val="24"/>
        </w:rPr>
        <w:t xml:space="preserve">ení </w:t>
      </w:r>
      <w:r w:rsidR="00905C5C">
        <w:rPr>
          <w:sz w:val="24"/>
          <w:szCs w:val="24"/>
        </w:rPr>
        <w:t>s platbou nájemného</w:t>
      </w:r>
    </w:p>
    <w:p w:rsidR="00905C5C" w:rsidRDefault="00905C5C" w:rsidP="009A482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Podnět na zařazení povinnosti doložení výpisu z rejstříku insolvencí a exekucí</w:t>
      </w:r>
    </w:p>
    <w:p w:rsidR="00905C5C" w:rsidRPr="009A4826" w:rsidRDefault="00905C5C" w:rsidP="009A482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případě odmítnutí nabízeného bytu by o vyřazení žadatele z evidence rozhodovala Bytová komise</w:t>
      </w:r>
    </w:p>
    <w:p w:rsidR="00F35842" w:rsidRDefault="00F35842" w:rsidP="004B3F54">
      <w:pPr>
        <w:jc w:val="both"/>
        <w:rPr>
          <w:sz w:val="24"/>
          <w:szCs w:val="24"/>
        </w:rPr>
      </w:pPr>
    </w:p>
    <w:p w:rsidR="00905C5C" w:rsidRDefault="00905C5C" w:rsidP="004B3F54">
      <w:pPr>
        <w:jc w:val="both"/>
        <w:rPr>
          <w:sz w:val="24"/>
          <w:szCs w:val="24"/>
        </w:rPr>
      </w:pPr>
    </w:p>
    <w:p w:rsidR="00D219C7" w:rsidRDefault="00D219C7" w:rsidP="004B3F54">
      <w:pPr>
        <w:jc w:val="both"/>
        <w:rPr>
          <w:sz w:val="24"/>
          <w:szCs w:val="24"/>
        </w:rPr>
      </w:pPr>
    </w:p>
    <w:p w:rsidR="00D219C7" w:rsidRDefault="00D219C7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dalšího jednání Bytové komise byl stanoven na </w:t>
      </w:r>
      <w:r w:rsidRPr="00910AD8">
        <w:rPr>
          <w:b/>
          <w:sz w:val="24"/>
          <w:szCs w:val="24"/>
        </w:rPr>
        <w:t>1</w:t>
      </w:r>
      <w:r w:rsidR="00905C5C">
        <w:rPr>
          <w:b/>
          <w:sz w:val="24"/>
          <w:szCs w:val="24"/>
        </w:rPr>
        <w:t>7</w:t>
      </w:r>
      <w:r w:rsidRPr="00910AD8">
        <w:rPr>
          <w:b/>
          <w:sz w:val="24"/>
          <w:szCs w:val="24"/>
        </w:rPr>
        <w:t>.</w:t>
      </w:r>
      <w:r w:rsidR="00905C5C">
        <w:rPr>
          <w:b/>
          <w:sz w:val="24"/>
          <w:szCs w:val="24"/>
        </w:rPr>
        <w:t xml:space="preserve"> </w:t>
      </w:r>
      <w:r w:rsidRPr="00910AD8">
        <w:rPr>
          <w:b/>
          <w:sz w:val="24"/>
          <w:szCs w:val="24"/>
        </w:rPr>
        <w:t>0</w:t>
      </w:r>
      <w:r w:rsidR="00905C5C">
        <w:rPr>
          <w:b/>
          <w:sz w:val="24"/>
          <w:szCs w:val="24"/>
        </w:rPr>
        <w:t>4</w:t>
      </w:r>
      <w:r w:rsidRPr="00910AD8">
        <w:rPr>
          <w:b/>
          <w:sz w:val="24"/>
          <w:szCs w:val="24"/>
        </w:rPr>
        <w:t>.</w:t>
      </w:r>
      <w:r w:rsidR="00905C5C">
        <w:rPr>
          <w:b/>
          <w:sz w:val="24"/>
          <w:szCs w:val="24"/>
        </w:rPr>
        <w:t xml:space="preserve"> </w:t>
      </w:r>
      <w:r w:rsidRPr="00910AD8">
        <w:rPr>
          <w:b/>
          <w:sz w:val="24"/>
          <w:szCs w:val="24"/>
        </w:rPr>
        <w:t>2023 v 16.00</w:t>
      </w:r>
      <w:r w:rsidR="00905C5C">
        <w:rPr>
          <w:sz w:val="24"/>
          <w:szCs w:val="24"/>
        </w:rPr>
        <w:t xml:space="preserve"> hodin</w:t>
      </w:r>
      <w:r>
        <w:rPr>
          <w:sz w:val="24"/>
          <w:szCs w:val="24"/>
        </w:rPr>
        <w:t>.</w:t>
      </w:r>
    </w:p>
    <w:p w:rsidR="00905C5C" w:rsidRDefault="00905C5C" w:rsidP="004B3F54">
      <w:pPr>
        <w:jc w:val="both"/>
        <w:rPr>
          <w:sz w:val="24"/>
          <w:szCs w:val="24"/>
        </w:rPr>
      </w:pPr>
    </w:p>
    <w:p w:rsidR="00905C5C" w:rsidRDefault="00905C5C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>OSM připraví koncept jednotných Zásad pro nakládání s byty MČ Praha 9 (ze sociálně-zdravotních důvodů, podporovaným profesím a formou výběrového řízení za tržní nájemné)</w:t>
      </w:r>
    </w:p>
    <w:p w:rsidR="001D27C1" w:rsidRPr="002D3BB6" w:rsidRDefault="001D27C1" w:rsidP="004B3F54">
      <w:pPr>
        <w:jc w:val="both"/>
        <w:rPr>
          <w:sz w:val="24"/>
          <w:szCs w:val="24"/>
        </w:rPr>
      </w:pPr>
    </w:p>
    <w:p w:rsidR="000D1425" w:rsidRPr="002D3BB6" w:rsidRDefault="000D1425" w:rsidP="000D1425">
      <w:pPr>
        <w:ind w:firstLine="567"/>
        <w:jc w:val="both"/>
        <w:rPr>
          <w:sz w:val="24"/>
          <w:szCs w:val="24"/>
        </w:rPr>
      </w:pPr>
      <w:r w:rsidRPr="002D3BB6">
        <w:rPr>
          <w:sz w:val="24"/>
          <w:szCs w:val="24"/>
        </w:rPr>
        <w:tab/>
      </w:r>
      <w:r w:rsidRPr="002D3BB6">
        <w:rPr>
          <w:sz w:val="24"/>
          <w:szCs w:val="24"/>
        </w:rPr>
        <w:tab/>
        <w:t xml:space="preserve"> </w:t>
      </w:r>
    </w:p>
    <w:p w:rsidR="00C67285" w:rsidRDefault="00C67285" w:rsidP="00C67285">
      <w:pPr>
        <w:jc w:val="both"/>
        <w:rPr>
          <w:sz w:val="24"/>
          <w:szCs w:val="24"/>
        </w:rPr>
      </w:pPr>
    </w:p>
    <w:p w:rsidR="00C67285" w:rsidRDefault="00C67285" w:rsidP="00C67285">
      <w:pPr>
        <w:jc w:val="both"/>
        <w:rPr>
          <w:sz w:val="24"/>
          <w:szCs w:val="24"/>
        </w:rPr>
      </w:pPr>
    </w:p>
    <w:p w:rsidR="00C67285" w:rsidRPr="00504C39" w:rsidRDefault="00C67285" w:rsidP="00C67285">
      <w:pPr>
        <w:jc w:val="both"/>
        <w:rPr>
          <w:sz w:val="24"/>
          <w:szCs w:val="24"/>
        </w:rPr>
      </w:pPr>
      <w:r w:rsidRPr="00504C39">
        <w:rPr>
          <w:sz w:val="24"/>
          <w:szCs w:val="24"/>
        </w:rPr>
        <w:t>Zapsala</w:t>
      </w:r>
      <w:r w:rsidR="006A3C45">
        <w:rPr>
          <w:sz w:val="24"/>
          <w:szCs w:val="24"/>
        </w:rPr>
        <w:t xml:space="preserve"> Mgr. Zuzana Mikisková</w:t>
      </w:r>
    </w:p>
    <w:p w:rsidR="00C67285" w:rsidRDefault="00D219C7" w:rsidP="00C6728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13.0</w:t>
      </w:r>
      <w:r w:rsidR="00905C5C">
        <w:rPr>
          <w:sz w:val="24"/>
          <w:szCs w:val="24"/>
        </w:rPr>
        <w:t>3</w:t>
      </w:r>
      <w:r>
        <w:rPr>
          <w:sz w:val="24"/>
          <w:szCs w:val="24"/>
        </w:rPr>
        <w:t>.2023</w:t>
      </w:r>
      <w:proofErr w:type="gramEnd"/>
    </w:p>
    <w:p w:rsidR="00CF407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F3151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Předseda Bytové komise</w:t>
      </w:r>
    </w:p>
    <w:p w:rsidR="00CF4075" w:rsidRPr="00504C39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Ing. Zdeněk Davídek</w:t>
      </w:r>
    </w:p>
    <w:sectPr w:rsidR="00CF4075" w:rsidRPr="00504C39" w:rsidSect="00837D06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5C1"/>
    <w:multiLevelType w:val="hybridMultilevel"/>
    <w:tmpl w:val="0A14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76A"/>
    <w:multiLevelType w:val="hybridMultilevel"/>
    <w:tmpl w:val="F30CBE58"/>
    <w:lvl w:ilvl="0" w:tplc="C2802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282E"/>
    <w:multiLevelType w:val="hybridMultilevel"/>
    <w:tmpl w:val="64DCDE94"/>
    <w:lvl w:ilvl="0" w:tplc="680ACC40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65D22"/>
    <w:multiLevelType w:val="hybridMultilevel"/>
    <w:tmpl w:val="712881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254A5"/>
    <w:multiLevelType w:val="hybridMultilevel"/>
    <w:tmpl w:val="1E6091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8619D5"/>
    <w:multiLevelType w:val="hybridMultilevel"/>
    <w:tmpl w:val="AB8CBB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12"/>
    <w:rsid w:val="0000044E"/>
    <w:rsid w:val="00032AD1"/>
    <w:rsid w:val="00041A79"/>
    <w:rsid w:val="0007506A"/>
    <w:rsid w:val="00080984"/>
    <w:rsid w:val="00086D59"/>
    <w:rsid w:val="000D1425"/>
    <w:rsid w:val="000D3799"/>
    <w:rsid w:val="001318FA"/>
    <w:rsid w:val="001339E4"/>
    <w:rsid w:val="001463DC"/>
    <w:rsid w:val="00165319"/>
    <w:rsid w:val="00180869"/>
    <w:rsid w:val="00182B61"/>
    <w:rsid w:val="001A397C"/>
    <w:rsid w:val="001B2418"/>
    <w:rsid w:val="001C2C8F"/>
    <w:rsid w:val="001D27C1"/>
    <w:rsid w:val="00203DF6"/>
    <w:rsid w:val="00244100"/>
    <w:rsid w:val="002638AE"/>
    <w:rsid w:val="002A1982"/>
    <w:rsid w:val="002A794C"/>
    <w:rsid w:val="002C52B2"/>
    <w:rsid w:val="002D3BB6"/>
    <w:rsid w:val="002E31F9"/>
    <w:rsid w:val="003247A9"/>
    <w:rsid w:val="00345A3E"/>
    <w:rsid w:val="00364E88"/>
    <w:rsid w:val="0038095B"/>
    <w:rsid w:val="00390F7B"/>
    <w:rsid w:val="00391E37"/>
    <w:rsid w:val="00396D73"/>
    <w:rsid w:val="003B414B"/>
    <w:rsid w:val="003B5F71"/>
    <w:rsid w:val="00401505"/>
    <w:rsid w:val="00422864"/>
    <w:rsid w:val="00463CD5"/>
    <w:rsid w:val="00485361"/>
    <w:rsid w:val="00492612"/>
    <w:rsid w:val="004B3F54"/>
    <w:rsid w:val="004D6ACA"/>
    <w:rsid w:val="005044C1"/>
    <w:rsid w:val="00536F01"/>
    <w:rsid w:val="00556991"/>
    <w:rsid w:val="00607C27"/>
    <w:rsid w:val="0061236F"/>
    <w:rsid w:val="00623DB5"/>
    <w:rsid w:val="006776B3"/>
    <w:rsid w:val="00686505"/>
    <w:rsid w:val="006937BA"/>
    <w:rsid w:val="006A3C45"/>
    <w:rsid w:val="006B15D0"/>
    <w:rsid w:val="006B5068"/>
    <w:rsid w:val="006C7696"/>
    <w:rsid w:val="006D6A84"/>
    <w:rsid w:val="00706C81"/>
    <w:rsid w:val="00710DFC"/>
    <w:rsid w:val="00795F9C"/>
    <w:rsid w:val="007B63AF"/>
    <w:rsid w:val="007F0D19"/>
    <w:rsid w:val="00801A6C"/>
    <w:rsid w:val="00835DE9"/>
    <w:rsid w:val="00837D06"/>
    <w:rsid w:val="00865DA7"/>
    <w:rsid w:val="00866322"/>
    <w:rsid w:val="00887109"/>
    <w:rsid w:val="008E434C"/>
    <w:rsid w:val="00905C5C"/>
    <w:rsid w:val="00910AD8"/>
    <w:rsid w:val="00911437"/>
    <w:rsid w:val="009139EC"/>
    <w:rsid w:val="00925C77"/>
    <w:rsid w:val="00926816"/>
    <w:rsid w:val="00942D1F"/>
    <w:rsid w:val="00963992"/>
    <w:rsid w:val="009A4826"/>
    <w:rsid w:val="009C23C7"/>
    <w:rsid w:val="00A01675"/>
    <w:rsid w:val="00A1691A"/>
    <w:rsid w:val="00A176FF"/>
    <w:rsid w:val="00A413D4"/>
    <w:rsid w:val="00A60FB5"/>
    <w:rsid w:val="00AA2E90"/>
    <w:rsid w:val="00AB3A04"/>
    <w:rsid w:val="00AB7FAB"/>
    <w:rsid w:val="00AE23FA"/>
    <w:rsid w:val="00B2645B"/>
    <w:rsid w:val="00B34988"/>
    <w:rsid w:val="00B8326D"/>
    <w:rsid w:val="00BC1066"/>
    <w:rsid w:val="00C67285"/>
    <w:rsid w:val="00CA1F56"/>
    <w:rsid w:val="00CB3C9A"/>
    <w:rsid w:val="00CE3146"/>
    <w:rsid w:val="00CF4075"/>
    <w:rsid w:val="00CF79A8"/>
    <w:rsid w:val="00D219C7"/>
    <w:rsid w:val="00D3444D"/>
    <w:rsid w:val="00D434E2"/>
    <w:rsid w:val="00D56E82"/>
    <w:rsid w:val="00DA3F17"/>
    <w:rsid w:val="00DF0E11"/>
    <w:rsid w:val="00DF4892"/>
    <w:rsid w:val="00E016D8"/>
    <w:rsid w:val="00E05DB0"/>
    <w:rsid w:val="00E352DD"/>
    <w:rsid w:val="00EA3B9D"/>
    <w:rsid w:val="00EA5E4C"/>
    <w:rsid w:val="00EB61CF"/>
    <w:rsid w:val="00EE19A4"/>
    <w:rsid w:val="00EF2842"/>
    <w:rsid w:val="00F12FDD"/>
    <w:rsid w:val="00F24FF4"/>
    <w:rsid w:val="00F304AF"/>
    <w:rsid w:val="00F31515"/>
    <w:rsid w:val="00F321DA"/>
    <w:rsid w:val="00F337E7"/>
    <w:rsid w:val="00F35842"/>
    <w:rsid w:val="00F3752B"/>
    <w:rsid w:val="00F50E60"/>
    <w:rsid w:val="00F555F6"/>
    <w:rsid w:val="00F83840"/>
    <w:rsid w:val="00FB2EE7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D1FE"/>
  <w15:chartTrackingRefBased/>
  <w15:docId w15:val="{186B8A40-31D5-41D8-B6F3-5E23E3B4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dresseeProjectInfo">
    <w:name w:val="Addressee &amp; Project Info"/>
    <w:rsid w:val="00A176FF"/>
    <w:pPr>
      <w:spacing w:after="0" w:line="312" w:lineRule="auto"/>
    </w:pPr>
    <w:rPr>
      <w:rFonts w:ascii="Helvetica Neue Light" w:eastAsia="ヒラギノ角ゴ Pro W3" w:hAnsi="Helvetica Neue Light" w:cs="Times New Roman"/>
      <w:color w:val="000000"/>
      <w:sz w:val="18"/>
      <w:szCs w:val="20"/>
    </w:rPr>
  </w:style>
  <w:style w:type="paragraph" w:styleId="Nzev">
    <w:name w:val="Title"/>
    <w:basedOn w:val="Normln"/>
    <w:link w:val="NzevChar"/>
    <w:qFormat/>
    <w:rsid w:val="00B8326D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B832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F48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14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9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94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7FAB"/>
    <w:rPr>
      <w:color w:val="0563C1"/>
      <w:u w:val="single"/>
    </w:rPr>
  </w:style>
  <w:style w:type="paragraph" w:styleId="Zkladntext">
    <w:name w:val="Body Text"/>
    <w:basedOn w:val="Normln"/>
    <w:link w:val="ZkladntextChar"/>
    <w:rsid w:val="00032AD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32A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63C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63CD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F31515"/>
    <w:rPr>
      <w:rFonts w:ascii="Courier New" w:eastAsiaTheme="minorHAnsi" w:hAnsi="Courier New" w:cs="Courier New" w:hint="default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1515"/>
    <w:pPr>
      <w:spacing w:before="100" w:beforeAutospacing="1" w:after="100" w:afterAutospacing="1" w:line="254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UMC-P9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Mikisková Zuzana Mgr. (ÚMČP.9)</dc:creator>
  <cp:keywords/>
  <dc:description/>
  <cp:lastModifiedBy>Mikisková Zuzana Mgr. (ÚMČP.9)</cp:lastModifiedBy>
  <cp:revision>5</cp:revision>
  <cp:lastPrinted>2023-03-15T14:42:00Z</cp:lastPrinted>
  <dcterms:created xsi:type="dcterms:W3CDTF">2023-03-14T08:09:00Z</dcterms:created>
  <dcterms:modified xsi:type="dcterms:W3CDTF">2023-03-15T14:46:00Z</dcterms:modified>
</cp:coreProperties>
</file>